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DNSP 2025 Opex Cost Function - short period</w:t>
      </w:r>
    </w:p>
    <w:p>
      <w:pPr>
        <w:pStyle w:val="Subtitle"/>
      </w:pPr>
      <w:r>
        <w:t/>
      </w:r>
      <w:r>
        <w:t xml:space="preserve"/>
      </w:r>
      <w:r>
        <w:t xml:space="preserve">SFACD short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.7932376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.7471254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.8482233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.7433088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.7003271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.7968343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.8044696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.7573726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.8602806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.7830258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.7374205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.837949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.607366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.5707973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.6469373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.6873154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.645933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.7320956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.8689535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.8166356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.9255687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.8073069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.7587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.8599048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.7509555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.7057415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.7998821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.6372697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.5989006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.6787894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.6777285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.6369234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.7218841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.7068646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.6643052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.7529184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.9660636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.9169371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1.047848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.9642166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.9142568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1.043513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.7612786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.715443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.8108776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.9246786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.8694931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.9856898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.9520907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.8985635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1.020993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.7932376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.7471254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.8482233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 short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0.957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short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.4603666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.4370859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.4865401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.4809846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.456528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.5081457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.6156318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.5841539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.6500595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.5406032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.5130592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.5710084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.5340515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.5065271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.5634877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.0325981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.030918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.0343949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.3120107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.2959301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.3292084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.1487947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.1411261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.1569961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.0819594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.0777353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.0864769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.7088022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.6722715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.7478706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.9485452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.9010711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1.003146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.3118678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.2957946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.3290576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.6594568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.6254693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.6958053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.6439011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.6107153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.6793921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.4582942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.4346743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.4835548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.9629346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.9176909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1.024075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.1815501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.1721932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.1915569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.4603666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.4370859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.4865401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short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-1.075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-0.141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1.635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0.870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-0.745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-2.266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-1.013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-1.695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-0.306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-1.685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-0.555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-1.838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-0.745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-0.893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-1.161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-0.071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-0.768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-0.040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-0.773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-0.038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-1.640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-0.482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-1.075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-0.141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short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0.789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</w:tbl>
    <w:p>
      <w:r>
        <w:t/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